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6E099" w14:textId="77777777" w:rsidR="00825611" w:rsidRPr="00825611" w:rsidRDefault="00825611">
      <w:pPr>
        <w:rPr>
          <w:b/>
          <w:sz w:val="28"/>
          <w:lang w:val="es-AR"/>
        </w:rPr>
      </w:pPr>
      <w:r>
        <w:rPr>
          <w:b/>
          <w:sz w:val="28"/>
          <w:lang w:val="es-AR"/>
        </w:rPr>
        <w:t xml:space="preserve">                       </w:t>
      </w:r>
      <w:r w:rsidR="00F84214">
        <w:rPr>
          <w:b/>
          <w:sz w:val="28"/>
          <w:lang w:val="es-AR"/>
        </w:rPr>
        <w:t>5 de “</w:t>
      </w:r>
      <w:r w:rsidRPr="00825611">
        <w:rPr>
          <w:b/>
          <w:sz w:val="28"/>
          <w:lang w:val="es-AR"/>
        </w:rPr>
        <w:t>Las 10 'apps' para cuidar el medio ambiente en 2019</w:t>
      </w:r>
      <w:r w:rsidR="00F84214">
        <w:rPr>
          <w:b/>
          <w:sz w:val="28"/>
          <w:lang w:val="es-AR"/>
        </w:rPr>
        <w:t>”</w:t>
      </w:r>
    </w:p>
    <w:p w14:paraId="7D032F0F" w14:textId="77777777" w:rsidR="0005387D" w:rsidRDefault="007D10B9">
      <w:pPr>
        <w:rPr>
          <w:lang w:val="es-AR"/>
        </w:rPr>
      </w:pPr>
      <w:hyperlink r:id="rId8" w:history="1">
        <w:r w:rsidR="0005387D" w:rsidRPr="00AF0238">
          <w:rPr>
            <w:rStyle w:val="Hyperlink"/>
            <w:lang w:val="es-AR"/>
          </w:rPr>
          <w:t>https://www.compromisoempresarial.com/rsc/2019/01/las-10-apps-para-cuidar-el-medio-ambiente-en-2019/</w:t>
        </w:r>
      </w:hyperlink>
    </w:p>
    <w:p w14:paraId="7E315EB6" w14:textId="77777777" w:rsidR="00825611" w:rsidRDefault="00825611">
      <w:pPr>
        <w:rPr>
          <w:lang w:val="es-AR"/>
        </w:rPr>
      </w:pPr>
      <w:r w:rsidRPr="0005387D">
        <w:rPr>
          <w:lang w:val="es-AR"/>
        </w:rPr>
        <w:t>Laura Martín  @LauramArribas 25 enero 2019</w:t>
      </w:r>
    </w:p>
    <w:p w14:paraId="470B6D85" w14:textId="77777777" w:rsidR="0005387D" w:rsidRPr="00F84214" w:rsidRDefault="00825611">
      <w:pPr>
        <w:rPr>
          <w:rFonts w:ascii="Cambria" w:hAnsi="Cambria"/>
          <w:lang w:val="es-AR"/>
        </w:rPr>
      </w:pPr>
      <w:r w:rsidRPr="00F84214">
        <w:rPr>
          <w:rFonts w:ascii="Cambria" w:hAnsi="Cambria"/>
          <w:lang w:val="es-AR"/>
        </w:rPr>
        <w:t xml:space="preserve">Para el año nuevo, es bueno idea tratar de </w:t>
      </w:r>
      <w:r w:rsidR="0005387D" w:rsidRPr="00F84214">
        <w:rPr>
          <w:rFonts w:ascii="Cambria" w:hAnsi="Cambria"/>
          <w:lang w:val="es-AR"/>
        </w:rPr>
        <w:t xml:space="preserve">establecer hábitos más respetuosos con el </w:t>
      </w:r>
      <w:r w:rsidRPr="00F84214">
        <w:rPr>
          <w:rFonts w:ascii="Cambria" w:hAnsi="Cambria"/>
          <w:lang w:val="es-AR"/>
        </w:rPr>
        <w:t>medio para</w:t>
      </w:r>
      <w:r w:rsidR="0005387D" w:rsidRPr="00F84214">
        <w:rPr>
          <w:rFonts w:ascii="Cambria" w:hAnsi="Cambria"/>
          <w:lang w:val="es-AR"/>
        </w:rPr>
        <w:t xml:space="preserve"> tener un medio ambiente más cuidado y sano</w:t>
      </w:r>
      <w:r w:rsidRPr="00F84214">
        <w:rPr>
          <w:rFonts w:ascii="Cambria" w:hAnsi="Cambria"/>
          <w:lang w:val="es-AR"/>
        </w:rPr>
        <w:t xml:space="preserve">. </w:t>
      </w:r>
      <w:r w:rsidR="0005387D" w:rsidRPr="00F84214">
        <w:rPr>
          <w:rFonts w:ascii="Cambria" w:hAnsi="Cambria"/>
          <w:lang w:val="es-AR"/>
        </w:rPr>
        <w:t xml:space="preserve"> Esto es ahora más sencillo gracias al gran número de apps que surgen cada día en el mercado -gratuitas y disponibles para casi todos los portátiles-, y que facilitan esta tarea. Desde cómo evitar el desperdicio alimenticio, las mejores rutas en bici, cómo cuidar un huerto urbano o cómo ahorrar agua reduciendo el tiempo de ducha, estas aplicaciones pueden convertir el teléfono móvil en una herramienta muy útil para usar en beneficio del planeta. </w:t>
      </w:r>
    </w:p>
    <w:p w14:paraId="1C755578" w14:textId="77777777" w:rsidR="0005387D" w:rsidRPr="00F84214" w:rsidRDefault="0005387D" w:rsidP="0005387D">
      <w:pPr>
        <w:pStyle w:val="ListParagraph"/>
        <w:numPr>
          <w:ilvl w:val="0"/>
          <w:numId w:val="1"/>
        </w:numPr>
        <w:rPr>
          <w:rFonts w:ascii="Cambria" w:hAnsi="Cambria"/>
          <w:b/>
          <w:lang w:val="es-AR"/>
        </w:rPr>
      </w:pPr>
      <w:r w:rsidRPr="00F84214">
        <w:rPr>
          <w:rFonts w:ascii="Cambria" w:hAnsi="Cambria"/>
          <w:b/>
          <w:lang w:val="es-AR"/>
        </w:rPr>
        <w:t xml:space="preserve">Urbi, una app para una movilidad más sostenible. </w:t>
      </w:r>
    </w:p>
    <w:p w14:paraId="5C5CA160" w14:textId="77777777" w:rsidR="0005387D" w:rsidRPr="00F84214" w:rsidRDefault="0005387D" w:rsidP="00F84214">
      <w:pPr>
        <w:rPr>
          <w:rFonts w:ascii="Cambria" w:hAnsi="Cambria"/>
          <w:lang w:val="es-AR"/>
        </w:rPr>
      </w:pPr>
      <w:r w:rsidRPr="00F84214">
        <w:rPr>
          <w:rFonts w:ascii="Cambria" w:hAnsi="Cambria"/>
          <w:lang w:val="es-AR"/>
        </w:rPr>
        <w:t>Compartir vehículos es el futuro de la movilidad. Para los que quieren ser parte de esa revolución existe esta app, que hace posible localizar el servicio más cercano y reservar coche, moto o bicicleta, todo en una sola aplicación. Solo es ne</w:t>
      </w:r>
      <w:r w:rsidR="00F84214">
        <w:rPr>
          <w:rFonts w:ascii="Cambria" w:hAnsi="Cambria"/>
          <w:lang w:val="es-AR"/>
        </w:rPr>
        <w:t xml:space="preserve">cesario activar los servicios, </w:t>
      </w:r>
      <w:r w:rsidRPr="00F84214">
        <w:rPr>
          <w:rFonts w:ascii="Cambria" w:hAnsi="Cambria"/>
          <w:lang w:val="es-AR"/>
        </w:rPr>
        <w:t>seleccionar la mejor opción</w:t>
      </w:r>
      <w:r w:rsidR="00F84214">
        <w:rPr>
          <w:rFonts w:ascii="Cambria" w:hAnsi="Cambria"/>
          <w:lang w:val="es-AR"/>
        </w:rPr>
        <w:t>,</w:t>
      </w:r>
      <w:r w:rsidRPr="00F84214">
        <w:rPr>
          <w:rFonts w:ascii="Cambria" w:hAnsi="Cambria"/>
          <w:lang w:val="es-AR"/>
        </w:rPr>
        <w:t xml:space="preserve"> y reservar el vehículo. Una alarma avisa al usuario de cuando hay uno disponible. No es necesario registrarse ni descargar en el smartphone todas las aplicaciones para compartir.</w:t>
      </w:r>
    </w:p>
    <w:p w14:paraId="68A7D656" w14:textId="77777777" w:rsidR="00F84214" w:rsidRDefault="0005387D" w:rsidP="00F84214">
      <w:pPr>
        <w:rPr>
          <w:rFonts w:ascii="Cambria" w:hAnsi="Cambria"/>
          <w:lang w:val="es-AR"/>
        </w:rPr>
      </w:pPr>
      <w:r w:rsidRPr="00F84214">
        <w:rPr>
          <w:rFonts w:ascii="Cambria" w:hAnsi="Cambria"/>
          <w:lang w:val="es-AR"/>
        </w:rPr>
        <w:t xml:space="preserve">La aplicación puede utilizarse en un gran número de ciudades como Madrid, Barcelona, Milán, Roma, Florencia, Berlín, Múnich, Colonia, Hamburgo, Viena, Copenhague, Estocolmo, Amsterdam, Helsinki, París, Lisboa o Bruselas, entre otras. En España trabaja con proveedores como Car2go, Emov, eCooltra, Muving, ioScoot, BiciMAD, Respiro, Bluemove, Avancar, ioScoot, Bicing y la red de transporte público de la mayoría de las ciudades, así como otras plataformas de otros países como DriveNow, Share’nGo, Mimoto, BikeMi, Multicity, Zipcar, o Ubeeqo. Otras de las funciones de esta app son una calculadora de precios en base a la duración del trayecto y la opción elegida -todo en tiempo real- un historial de reservas, descarga de factura en PDF, un avisador inteligente para compartir bicicletas, o la opción de conocer la disponibilidad de parkings y gasolineras. Solo es necesario agitar el teléfono móvil para actualizar los datos. </w:t>
      </w:r>
    </w:p>
    <w:p w14:paraId="09D681C1" w14:textId="77777777" w:rsidR="00F84214" w:rsidRDefault="00F84214" w:rsidP="00F84214">
      <w:pPr>
        <w:rPr>
          <w:rFonts w:ascii="Cambria" w:hAnsi="Cambria"/>
          <w:lang w:val="es-AR"/>
        </w:rPr>
      </w:pPr>
    </w:p>
    <w:p w14:paraId="053C7ACB" w14:textId="77777777" w:rsidR="0005387D" w:rsidRPr="00F84214" w:rsidRDefault="0005387D" w:rsidP="00F84214">
      <w:pPr>
        <w:pStyle w:val="ListParagraph"/>
        <w:numPr>
          <w:ilvl w:val="0"/>
          <w:numId w:val="1"/>
        </w:numPr>
        <w:rPr>
          <w:rFonts w:ascii="Cambria" w:hAnsi="Cambria"/>
          <w:b/>
          <w:lang w:val="es-AR"/>
        </w:rPr>
      </w:pPr>
      <w:r w:rsidRPr="00F84214">
        <w:rPr>
          <w:rFonts w:ascii="Cambria" w:hAnsi="Cambria"/>
          <w:b/>
          <w:lang w:val="es-AR"/>
        </w:rPr>
        <w:t>Too Good To Go, para reducir el desperdicio alimentario</w:t>
      </w:r>
      <w:r w:rsidR="00F84214" w:rsidRPr="00F84214">
        <w:rPr>
          <w:rFonts w:ascii="Cambria" w:hAnsi="Cambria"/>
          <w:b/>
          <w:lang w:val="es-AR"/>
        </w:rPr>
        <w:t xml:space="preserve"> </w:t>
      </w:r>
    </w:p>
    <w:p w14:paraId="7C3F81A1" w14:textId="77777777" w:rsidR="0005387D" w:rsidRPr="00F84214" w:rsidRDefault="0005387D" w:rsidP="00F84214">
      <w:pPr>
        <w:rPr>
          <w:rFonts w:ascii="Cambria" w:hAnsi="Cambria"/>
          <w:lang w:val="es-AR"/>
        </w:rPr>
      </w:pPr>
      <w:r w:rsidRPr="00F84214">
        <w:rPr>
          <w:rFonts w:ascii="Cambria" w:hAnsi="Cambria"/>
          <w:lang w:val="es-AR"/>
        </w:rPr>
        <w:t xml:space="preserve">Too Good To Go es un movimiento nacido en Dinamarca en 2016 y materializado en una app móvil que pone en contacto a restaurantes, supermercados o panaderías, entre otros establecimientos, que venden su excedente de comida diario, con usuarios que pueden salvar packs con esa comida de calidad a precio reducido, en su mayoría entre 2 y 5 euros. Su propósito para 2019 es evitar la emisión de 1.200 toneladas de CO2 derivadas del despilfarro de alimentos en España. Esta app se encuentra activa desde septiembre de 2018 en España en ciudades como Madrid, Barcelona o Bilbao y solo hasta diciembre ya sumaba más de 52.000 usuarios y varios centenares de establecimientos colaborando en la lucha contra el desperdicio. El funcionamiento de esta app es muy sencillo. </w:t>
      </w:r>
      <w:r w:rsidR="00F84214">
        <w:rPr>
          <w:rFonts w:ascii="Cambria" w:hAnsi="Cambria"/>
          <w:lang w:val="es-AR"/>
        </w:rPr>
        <w:t>La</w:t>
      </w:r>
      <w:r w:rsidRPr="00F84214">
        <w:rPr>
          <w:rFonts w:ascii="Cambria" w:hAnsi="Cambria"/>
          <w:lang w:val="es-AR"/>
        </w:rPr>
        <w:t xml:space="preserve"> aplicación muestra los establecimientos que tiene a su alrededor y los packs disponibles para “salvar”. El usuario puede elegir sus favoritos y seleccionar cuántos packs quiere adquirir. Una vez hecho esto se confirma el pago a través de la app y solo tendrá que ir a recoger su comida al establecimiento en los horarios establecidos. Esta aplicación es gratuita y está disponible en IOS y Android para su descarga.</w:t>
      </w:r>
    </w:p>
    <w:p w14:paraId="2B5CED0F" w14:textId="77777777" w:rsidR="0005387D" w:rsidRDefault="0005387D" w:rsidP="0005387D">
      <w:pPr>
        <w:pStyle w:val="ListParagraph"/>
        <w:rPr>
          <w:rFonts w:ascii="Cambria" w:hAnsi="Cambria"/>
          <w:lang w:val="es-AR"/>
        </w:rPr>
      </w:pPr>
    </w:p>
    <w:p w14:paraId="26FF1DC2" w14:textId="77777777" w:rsidR="00F84214" w:rsidRDefault="00F84214" w:rsidP="0005387D">
      <w:pPr>
        <w:pStyle w:val="ListParagraph"/>
        <w:rPr>
          <w:rFonts w:ascii="Cambria" w:hAnsi="Cambria"/>
          <w:lang w:val="es-AR"/>
        </w:rPr>
      </w:pPr>
    </w:p>
    <w:p w14:paraId="242575FE" w14:textId="77777777" w:rsidR="00F84214" w:rsidRDefault="00F84214" w:rsidP="0005387D">
      <w:pPr>
        <w:pStyle w:val="ListParagraph"/>
        <w:rPr>
          <w:rFonts w:ascii="Cambria" w:hAnsi="Cambria"/>
          <w:lang w:val="es-AR"/>
        </w:rPr>
      </w:pPr>
    </w:p>
    <w:p w14:paraId="4C2C54EF" w14:textId="77777777" w:rsidR="00984DE6" w:rsidRDefault="00984DE6" w:rsidP="0005387D">
      <w:pPr>
        <w:pStyle w:val="ListParagraph"/>
        <w:rPr>
          <w:rFonts w:ascii="Cambria" w:hAnsi="Cambria"/>
          <w:lang w:val="es-AR"/>
        </w:rPr>
      </w:pPr>
    </w:p>
    <w:p w14:paraId="5BC32F7C" w14:textId="77777777" w:rsidR="00984DE6" w:rsidRDefault="00984DE6" w:rsidP="0005387D">
      <w:pPr>
        <w:pStyle w:val="ListParagraph"/>
        <w:rPr>
          <w:rFonts w:ascii="Cambria" w:hAnsi="Cambria"/>
          <w:lang w:val="es-AR"/>
        </w:rPr>
      </w:pPr>
    </w:p>
    <w:p w14:paraId="6A01A001" w14:textId="77777777" w:rsidR="0005387D" w:rsidRPr="00F84214" w:rsidRDefault="0005387D" w:rsidP="0005387D">
      <w:pPr>
        <w:rPr>
          <w:rFonts w:ascii="Cambria" w:hAnsi="Cambria"/>
          <w:lang w:val="es-AR"/>
        </w:rPr>
      </w:pPr>
    </w:p>
    <w:p w14:paraId="5B643F25" w14:textId="77777777" w:rsidR="00F84214" w:rsidRPr="00F84214" w:rsidRDefault="0005387D" w:rsidP="00F84214">
      <w:pPr>
        <w:pStyle w:val="ListParagraph"/>
        <w:numPr>
          <w:ilvl w:val="0"/>
          <w:numId w:val="1"/>
        </w:numPr>
        <w:rPr>
          <w:rFonts w:ascii="Cambria" w:hAnsi="Cambria"/>
          <w:b/>
          <w:lang w:val="es-AR"/>
        </w:rPr>
      </w:pPr>
      <w:r w:rsidRPr="00F84214">
        <w:rPr>
          <w:rFonts w:ascii="Cambria" w:hAnsi="Cambria"/>
          <w:b/>
          <w:lang w:val="es-AR"/>
        </w:rPr>
        <w:lastRenderedPageBreak/>
        <w:t>iHuerting o cómo cuidar tu propio huerto urbano</w:t>
      </w:r>
    </w:p>
    <w:p w14:paraId="2FD76727" w14:textId="77777777" w:rsidR="0005387D" w:rsidRDefault="0005387D" w:rsidP="00F84214">
      <w:pPr>
        <w:ind w:left="360"/>
        <w:rPr>
          <w:rFonts w:ascii="Cambria" w:hAnsi="Cambria"/>
          <w:lang w:val="es-AR"/>
        </w:rPr>
      </w:pPr>
      <w:r w:rsidRPr="00F84214">
        <w:rPr>
          <w:rFonts w:ascii="Cambria" w:hAnsi="Cambria"/>
          <w:lang w:val="es-AR"/>
        </w:rPr>
        <w:t xml:space="preserve"> Se trata de una app para cuidar de </w:t>
      </w:r>
      <w:r w:rsidR="00F84214">
        <w:rPr>
          <w:rFonts w:ascii="Cambria" w:hAnsi="Cambria"/>
          <w:lang w:val="es-AR"/>
        </w:rPr>
        <w:t>jardines</w:t>
      </w:r>
      <w:r w:rsidRPr="00F84214">
        <w:rPr>
          <w:rFonts w:ascii="Cambria" w:hAnsi="Cambria"/>
          <w:lang w:val="es-AR"/>
        </w:rPr>
        <w:t xml:space="preserve"> urbanos </w:t>
      </w:r>
      <w:r w:rsidR="00F84214">
        <w:rPr>
          <w:rFonts w:ascii="Cambria" w:hAnsi="Cambria"/>
          <w:lang w:val="es-AR"/>
        </w:rPr>
        <w:t xml:space="preserve">de verduras </w:t>
      </w:r>
      <w:r w:rsidRPr="00F84214">
        <w:rPr>
          <w:rFonts w:ascii="Cambria" w:hAnsi="Cambria"/>
          <w:lang w:val="es-AR"/>
        </w:rPr>
        <w:t>en terrazas o jardines de manera simple y entretenida. Cuando llega el momento, el usuario recibe un aviso a su smartphone que le recordará las tareas que debe realizar con cada planta. El primer paso es seleccionar en la app qué plantas tiene el huerto, y a partir de ahí, iHuerting recordará al usuario cuándo regar, fertilizar y aplicar tratamientos de prevención de plagas en cada una de sus plantas. También recomienda las más adecuadas para agregar en el huerto en la fecha que se consulte. La app también ayuda a identificar y curar las plagas que afectan a las plantas. Solo hay que indicarle uno o dos síntomas detectados y una vez identificada, sugerirá remedios orgánicos para “curarlo”. Gracias a iHuerting la dieta en el hogar puede ser más</w:t>
      </w:r>
      <w:r w:rsidR="00F84214">
        <w:rPr>
          <w:rFonts w:ascii="Cambria" w:hAnsi="Cambria"/>
          <w:lang w:val="es-AR"/>
        </w:rPr>
        <w:t xml:space="preserve"> saludable, y todo con la mínimo</w:t>
      </w:r>
      <w:r w:rsidRPr="00F84214">
        <w:rPr>
          <w:rFonts w:ascii="Cambria" w:hAnsi="Cambria"/>
          <w:lang w:val="es-AR"/>
        </w:rPr>
        <w:t xml:space="preserve"> </w:t>
      </w:r>
      <w:r w:rsidR="00F84214">
        <w:rPr>
          <w:rFonts w:ascii="Cambria" w:hAnsi="Cambria"/>
          <w:lang w:val="es-AR"/>
        </w:rPr>
        <w:t>impacto ecológico</w:t>
      </w:r>
      <w:r w:rsidRPr="00F84214">
        <w:rPr>
          <w:rFonts w:ascii="Cambria" w:hAnsi="Cambria"/>
          <w:lang w:val="es-AR"/>
        </w:rPr>
        <w:t xml:space="preserve">, ya que las verduras, frutas y hortalizas cultivadas no necesitarán pesticidas, embalajes ni transporte. </w:t>
      </w:r>
    </w:p>
    <w:p w14:paraId="759D0E8B" w14:textId="77777777" w:rsidR="00F84214" w:rsidRPr="00F84214" w:rsidRDefault="00F84214" w:rsidP="00F84214">
      <w:pPr>
        <w:ind w:left="360"/>
        <w:rPr>
          <w:rFonts w:ascii="Cambria" w:hAnsi="Cambria"/>
          <w:lang w:val="es-AR"/>
        </w:rPr>
      </w:pPr>
    </w:p>
    <w:p w14:paraId="2543E05C" w14:textId="77777777" w:rsidR="0005387D" w:rsidRPr="00F84214" w:rsidRDefault="0005387D" w:rsidP="00F84214">
      <w:pPr>
        <w:pStyle w:val="ListParagraph"/>
        <w:numPr>
          <w:ilvl w:val="0"/>
          <w:numId w:val="1"/>
        </w:numPr>
        <w:rPr>
          <w:rFonts w:ascii="Cambria" w:hAnsi="Cambria"/>
          <w:b/>
          <w:lang w:val="es-AR"/>
        </w:rPr>
      </w:pPr>
      <w:r w:rsidRPr="00F84214">
        <w:rPr>
          <w:rFonts w:ascii="Cambria" w:hAnsi="Cambria"/>
          <w:b/>
          <w:lang w:val="es-AR"/>
        </w:rPr>
        <w:t xml:space="preserve"> Bike Map, la app para fomentar el uso de la bicicleta </w:t>
      </w:r>
    </w:p>
    <w:p w14:paraId="3802F89F" w14:textId="77777777" w:rsidR="0005387D" w:rsidRPr="00F84214" w:rsidRDefault="0005387D" w:rsidP="0005387D">
      <w:pPr>
        <w:rPr>
          <w:rFonts w:ascii="Cambria" w:hAnsi="Cambria"/>
          <w:lang w:val="es-AR"/>
        </w:rPr>
      </w:pPr>
      <w:r w:rsidRPr="00F84214">
        <w:rPr>
          <w:rFonts w:ascii="Cambria" w:hAnsi="Cambria"/>
          <w:lang w:val="es-AR"/>
        </w:rPr>
        <w:t>Esta aplicación contiene casi tres millones y medio de rutas en bici alrededor de todo el mundo (80 países), incluido España. Además, informa, según se trate de bicicleta de ciudad, de carretera o mountain bike, de las mejores rutas para cada una de ellas y facilita datos sobre la distancia y el nivel de ascenso. A través de su navegación por voz</w:t>
      </w:r>
      <w:r w:rsidR="00F84214">
        <w:rPr>
          <w:rFonts w:ascii="Cambria" w:hAnsi="Cambria"/>
          <w:lang w:val="es-AR"/>
        </w:rPr>
        <w:t xml:space="preserve">, Bike Map hace </w:t>
      </w:r>
      <w:r w:rsidRPr="00F84214">
        <w:rPr>
          <w:rFonts w:ascii="Cambria" w:hAnsi="Cambria"/>
          <w:lang w:val="es-AR"/>
        </w:rPr>
        <w:t>recomendaciones personalizadas de rutas y permite consultar mapas de ciclismo en tiempo real, haciendo posible compartir el progreso personal de cada uno con amigos u otros aficionados. La aplicación va sumando cada día miles de rutas que comparte la comunidad y es capaz de redirigir al usuario si este se sale de ella, adelantándole la pendiente o las curvas del camino con instrucciones precisas a lo largo de toda la ruta. Se trata de una app muy útil, no solo para los aficionados al ciclismo, sin</w:t>
      </w:r>
      <w:r w:rsidR="00F84214">
        <w:rPr>
          <w:rFonts w:ascii="Cambria" w:hAnsi="Cambria"/>
          <w:lang w:val="es-AR"/>
        </w:rPr>
        <w:t xml:space="preserve">o para cualquier persona que quiera </w:t>
      </w:r>
      <w:r w:rsidRPr="00F84214">
        <w:rPr>
          <w:rFonts w:ascii="Cambria" w:hAnsi="Cambria"/>
          <w:lang w:val="es-AR"/>
        </w:rPr>
        <w:t xml:space="preserve">cuidar del medio ambiente acudiendo a trabajar en bicicleta en su ciudad, o conocer nuevas rutas para explorar el fin de semana gracias a los más de un millón de ciclistas o deportistas aficionados que ya se han descargado y utilizan Bike Map. </w:t>
      </w:r>
    </w:p>
    <w:p w14:paraId="6508C560" w14:textId="77777777" w:rsidR="0005387D" w:rsidRPr="00F84214" w:rsidRDefault="0005387D" w:rsidP="0005387D">
      <w:pPr>
        <w:rPr>
          <w:rFonts w:ascii="Cambria" w:hAnsi="Cambria"/>
          <w:lang w:val="es-AR"/>
        </w:rPr>
      </w:pPr>
      <w:r w:rsidRPr="00F84214">
        <w:rPr>
          <w:rFonts w:ascii="Cambria" w:hAnsi="Cambria"/>
          <w:lang w:val="es-AR"/>
        </w:rPr>
        <w:t xml:space="preserve"> </w:t>
      </w:r>
    </w:p>
    <w:p w14:paraId="1C88D702" w14:textId="77777777" w:rsidR="0005387D" w:rsidRPr="00F84214" w:rsidRDefault="0005387D" w:rsidP="00F84214">
      <w:pPr>
        <w:pStyle w:val="ListParagraph"/>
        <w:numPr>
          <w:ilvl w:val="0"/>
          <w:numId w:val="1"/>
        </w:numPr>
        <w:rPr>
          <w:rFonts w:ascii="Cambria" w:hAnsi="Cambria"/>
          <w:b/>
          <w:lang w:val="es-AR"/>
        </w:rPr>
      </w:pPr>
      <w:r w:rsidRPr="00F84214">
        <w:rPr>
          <w:rFonts w:ascii="Cambria" w:hAnsi="Cambria"/>
          <w:b/>
          <w:lang w:val="es-AR"/>
        </w:rPr>
        <w:t>Duchapp, para duchas más eficientes</w:t>
      </w:r>
    </w:p>
    <w:p w14:paraId="48AD271E" w14:textId="77777777" w:rsidR="0005387D" w:rsidRPr="00F84214" w:rsidRDefault="0005387D" w:rsidP="0005387D">
      <w:pPr>
        <w:rPr>
          <w:rFonts w:ascii="Cambria" w:hAnsi="Cambria"/>
          <w:lang w:val="es-AR"/>
        </w:rPr>
      </w:pPr>
      <w:r w:rsidRPr="00F84214">
        <w:rPr>
          <w:rFonts w:ascii="Cambria" w:hAnsi="Cambria"/>
          <w:lang w:val="es-AR"/>
        </w:rPr>
        <w:t xml:space="preserve"> Se trata de una aplicación gratuita desarrollada en Latinoamérica que permite disminuir el consumo de agua durante la ducha. Está basada en una canción que dura menos de cinco minutos y que guía los pasos que debe seguir una persona para ducharse sin desperdiciar agua. Sus creadores </w:t>
      </w:r>
      <w:r w:rsidR="00F84214">
        <w:rPr>
          <w:rFonts w:ascii="Cambria" w:hAnsi="Cambria"/>
          <w:lang w:val="es-AR"/>
        </w:rPr>
        <w:t>calcularon que</w:t>
      </w:r>
      <w:r w:rsidRPr="00F84214">
        <w:rPr>
          <w:rFonts w:ascii="Cambria" w:hAnsi="Cambria"/>
          <w:lang w:val="es-AR"/>
        </w:rPr>
        <w:t xml:space="preserve"> una persona </w:t>
      </w:r>
      <w:r w:rsidR="00F84214">
        <w:rPr>
          <w:rFonts w:ascii="Cambria" w:hAnsi="Cambria"/>
          <w:lang w:val="es-AR"/>
        </w:rPr>
        <w:t>toma</w:t>
      </w:r>
      <w:r w:rsidRPr="00F84214">
        <w:rPr>
          <w:rFonts w:ascii="Cambria" w:hAnsi="Cambria"/>
          <w:lang w:val="es-AR"/>
        </w:rPr>
        <w:t xml:space="preserve"> entre 10 y 12 minutos </w:t>
      </w:r>
      <w:r w:rsidR="00F84214">
        <w:rPr>
          <w:rFonts w:ascii="Cambria" w:hAnsi="Cambria"/>
          <w:lang w:val="es-AR"/>
        </w:rPr>
        <w:t xml:space="preserve">para bañarse, </w:t>
      </w:r>
      <w:r w:rsidRPr="00F84214">
        <w:rPr>
          <w:rFonts w:ascii="Cambria" w:hAnsi="Cambria"/>
          <w:lang w:val="es-AR"/>
        </w:rPr>
        <w:t xml:space="preserve">y gasta un promedio de 200 litros de agua. Con esta aplicación este tiempo se reduce a menos de 5 minutos, ahorrando hasta 130 litros de agua en cada ducha. Al año, esto se traduce en una reducción de 47.450 litros de agua por persona. Duchapp permite que el usuario personalice su ducha, según sus preferencias, agregando champú extra o acondicionador, por </w:t>
      </w:r>
      <w:r w:rsidR="00F84214" w:rsidRPr="00F84214">
        <w:rPr>
          <w:rFonts w:ascii="Cambria" w:hAnsi="Cambria"/>
          <w:lang w:val="es-AR"/>
        </w:rPr>
        <w:t>ejemplo,</w:t>
      </w:r>
      <w:r w:rsidRPr="00F84214">
        <w:rPr>
          <w:rFonts w:ascii="Cambria" w:hAnsi="Cambria"/>
          <w:lang w:val="es-AR"/>
        </w:rPr>
        <w:t xml:space="preserve"> o eligiendo la canción que le guiará en el momento de la ducha, que puede adaptarse a distintos ritmos latinos y rock. Todo esto hace que la experiencia sea divertida para el usuario, mientras consigue ahorrar agua con una acción cotidiana. Además, la aplicación calcula la cantidad de litros que cada persona reduce y permite compartir este dato en redes sociales, lo que crea una especie de “sana competencia” que motiva a otros usuarios a participar y batir esa marca. También </w:t>
      </w:r>
      <w:r w:rsidR="00F84214">
        <w:rPr>
          <w:rFonts w:ascii="Cambria" w:hAnsi="Cambria"/>
          <w:lang w:val="es-AR"/>
        </w:rPr>
        <w:t>ofrece</w:t>
      </w:r>
      <w:r w:rsidRPr="00F84214">
        <w:rPr>
          <w:rFonts w:ascii="Cambria" w:hAnsi="Cambria"/>
          <w:lang w:val="es-AR"/>
        </w:rPr>
        <w:t xml:space="preserve"> </w:t>
      </w:r>
      <w:r w:rsidR="00F84214">
        <w:rPr>
          <w:rFonts w:ascii="Cambria" w:hAnsi="Cambria"/>
          <w:lang w:val="es-AR"/>
        </w:rPr>
        <w:t>ideas práctica</w:t>
      </w:r>
      <w:r w:rsidRPr="00F84214">
        <w:rPr>
          <w:rFonts w:ascii="Cambria" w:hAnsi="Cambria"/>
          <w:lang w:val="es-AR"/>
        </w:rPr>
        <w:t>s para un consumo responsable de agua en el hogar en general, contribuyendo además a la toma de conciencia sobre la repercusión de las acciones diaria; en este caso, el uso del agua. Duchapp solo está disponible en App Store para dispositivos iOS</w:t>
      </w:r>
      <w:r w:rsidR="00F84214">
        <w:rPr>
          <w:rFonts w:ascii="Cambria" w:hAnsi="Cambria"/>
          <w:lang w:val="es-AR"/>
        </w:rPr>
        <w:t>.</w:t>
      </w:r>
      <w:r w:rsidRPr="00F84214">
        <w:rPr>
          <w:rFonts w:ascii="Cambria" w:hAnsi="Cambria"/>
          <w:lang w:val="es-AR"/>
        </w:rPr>
        <w:t xml:space="preserve"> </w:t>
      </w:r>
    </w:p>
    <w:p w14:paraId="35C27700" w14:textId="77777777" w:rsidR="00FF57FC" w:rsidRPr="007D10B9" w:rsidRDefault="007D10B9" w:rsidP="0005387D">
      <w:pPr>
        <w:rPr>
          <w:rFonts w:ascii="Cambria" w:hAnsi="Cambria"/>
          <w:lang w:val="es-AR"/>
        </w:rPr>
      </w:pPr>
    </w:p>
    <w:p w14:paraId="005C1152" w14:textId="77777777" w:rsidR="000A44C7" w:rsidRPr="007D10B9" w:rsidRDefault="000A44C7" w:rsidP="0005387D">
      <w:pPr>
        <w:rPr>
          <w:rFonts w:ascii="Cambria" w:hAnsi="Cambria"/>
          <w:lang w:val="es-AR"/>
        </w:rPr>
      </w:pPr>
    </w:p>
    <w:p w14:paraId="671133DB" w14:textId="77777777" w:rsidR="000A44C7" w:rsidRPr="007D10B9" w:rsidRDefault="000A44C7" w:rsidP="0005387D">
      <w:pPr>
        <w:rPr>
          <w:rFonts w:ascii="Cambria" w:hAnsi="Cambria"/>
          <w:lang w:val="es-AR"/>
        </w:rPr>
      </w:pPr>
    </w:p>
    <w:p w14:paraId="19FF33D3" w14:textId="77777777" w:rsidR="00984DE6" w:rsidRPr="007D10B9" w:rsidRDefault="00984DE6" w:rsidP="0005387D">
      <w:pPr>
        <w:rPr>
          <w:rFonts w:ascii="Cambria" w:hAnsi="Cambria"/>
          <w:lang w:val="es-AR"/>
        </w:rPr>
      </w:pPr>
    </w:p>
    <w:p w14:paraId="6E73F0A7" w14:textId="77777777" w:rsidR="00984DE6" w:rsidRPr="007D10B9" w:rsidRDefault="00984DE6" w:rsidP="0005387D">
      <w:pPr>
        <w:rPr>
          <w:rFonts w:ascii="Cambria" w:hAnsi="Cambria"/>
          <w:lang w:val="es-AR"/>
        </w:rPr>
      </w:pPr>
    </w:p>
    <w:p w14:paraId="70E4300D" w14:textId="77777777" w:rsidR="000A44C7" w:rsidRPr="007D10B9" w:rsidRDefault="000A44C7" w:rsidP="0005387D">
      <w:pPr>
        <w:rPr>
          <w:rFonts w:ascii="Cambria" w:hAnsi="Cambria"/>
          <w:lang w:val="es-AR"/>
        </w:rPr>
      </w:pPr>
    </w:p>
    <w:tbl>
      <w:tblPr>
        <w:tblStyle w:val="TableGrid"/>
        <w:tblW w:w="0" w:type="auto"/>
        <w:tblLayout w:type="fixed"/>
        <w:tblLook w:val="04A0" w:firstRow="1" w:lastRow="0" w:firstColumn="1" w:lastColumn="0" w:noHBand="0" w:noVBand="1"/>
      </w:tblPr>
      <w:tblGrid>
        <w:gridCol w:w="1727"/>
        <w:gridCol w:w="1688"/>
        <w:gridCol w:w="1710"/>
        <w:gridCol w:w="1620"/>
        <w:gridCol w:w="1710"/>
        <w:gridCol w:w="1631"/>
      </w:tblGrid>
      <w:tr w:rsidR="00984DE6" w:rsidRPr="000A44C7" w14:paraId="508C20F9" w14:textId="77777777" w:rsidTr="00984DE6">
        <w:trPr>
          <w:trHeight w:val="308"/>
        </w:trPr>
        <w:tc>
          <w:tcPr>
            <w:tcW w:w="1727" w:type="dxa"/>
          </w:tcPr>
          <w:p w14:paraId="7D144673" w14:textId="77777777" w:rsidR="00984DE6" w:rsidRDefault="00984DE6" w:rsidP="0005387D">
            <w:pPr>
              <w:rPr>
                <w:rFonts w:ascii="Cambria" w:hAnsi="Cambria"/>
              </w:rPr>
            </w:pPr>
            <w:r>
              <w:rPr>
                <w:rFonts w:ascii="Cambria" w:hAnsi="Cambria"/>
              </w:rPr>
              <w:t>App</w:t>
            </w:r>
          </w:p>
        </w:tc>
        <w:tc>
          <w:tcPr>
            <w:tcW w:w="1688" w:type="dxa"/>
          </w:tcPr>
          <w:p w14:paraId="0DDFA0FE" w14:textId="77777777" w:rsidR="00984DE6" w:rsidRDefault="00984DE6" w:rsidP="0005387D">
            <w:pPr>
              <w:rPr>
                <w:rFonts w:ascii="Cambria" w:hAnsi="Cambria"/>
              </w:rPr>
            </w:pPr>
          </w:p>
        </w:tc>
        <w:tc>
          <w:tcPr>
            <w:tcW w:w="1710" w:type="dxa"/>
          </w:tcPr>
          <w:p w14:paraId="572FE373" w14:textId="77777777" w:rsidR="00984DE6" w:rsidRPr="000A44C7" w:rsidRDefault="00984DE6" w:rsidP="0005387D">
            <w:pPr>
              <w:rPr>
                <w:rFonts w:ascii="Cambria" w:hAnsi="Cambria"/>
                <w:lang w:val="es-AR"/>
              </w:rPr>
            </w:pPr>
          </w:p>
        </w:tc>
        <w:tc>
          <w:tcPr>
            <w:tcW w:w="1620" w:type="dxa"/>
          </w:tcPr>
          <w:p w14:paraId="63358EF0" w14:textId="77777777" w:rsidR="00984DE6" w:rsidRPr="000A44C7" w:rsidRDefault="00984DE6" w:rsidP="0005387D">
            <w:pPr>
              <w:rPr>
                <w:rFonts w:ascii="Cambria" w:hAnsi="Cambria"/>
                <w:lang w:val="es-AR"/>
              </w:rPr>
            </w:pPr>
          </w:p>
        </w:tc>
        <w:tc>
          <w:tcPr>
            <w:tcW w:w="1710" w:type="dxa"/>
          </w:tcPr>
          <w:p w14:paraId="18B97710" w14:textId="77777777" w:rsidR="00984DE6" w:rsidRPr="000A44C7" w:rsidRDefault="00984DE6" w:rsidP="0005387D">
            <w:pPr>
              <w:rPr>
                <w:rFonts w:ascii="Cambria" w:hAnsi="Cambria"/>
                <w:lang w:val="es-AR"/>
              </w:rPr>
            </w:pPr>
          </w:p>
        </w:tc>
        <w:tc>
          <w:tcPr>
            <w:tcW w:w="1631" w:type="dxa"/>
          </w:tcPr>
          <w:p w14:paraId="1E196D8B" w14:textId="77777777" w:rsidR="00984DE6" w:rsidRPr="000A44C7" w:rsidRDefault="00984DE6" w:rsidP="0005387D">
            <w:pPr>
              <w:rPr>
                <w:rFonts w:ascii="Cambria" w:hAnsi="Cambria"/>
                <w:lang w:val="es-AR"/>
              </w:rPr>
            </w:pPr>
          </w:p>
        </w:tc>
      </w:tr>
      <w:tr w:rsidR="00984DE6" w:rsidRPr="000A44C7" w14:paraId="053C3102" w14:textId="77777777" w:rsidTr="00984DE6">
        <w:trPr>
          <w:trHeight w:val="308"/>
        </w:trPr>
        <w:tc>
          <w:tcPr>
            <w:tcW w:w="1727" w:type="dxa"/>
          </w:tcPr>
          <w:p w14:paraId="2AD9C221" w14:textId="64251D70" w:rsidR="00984DE6" w:rsidRPr="000A44C7" w:rsidRDefault="00984DE6" w:rsidP="0005387D">
            <w:pPr>
              <w:rPr>
                <w:rFonts w:ascii="Cambria" w:hAnsi="Cambria"/>
                <w:lang w:val="es-AR"/>
              </w:rPr>
            </w:pPr>
            <w:r>
              <w:rPr>
                <w:rFonts w:ascii="Cambria" w:hAnsi="Cambria"/>
              </w:rPr>
              <w:t>Meta</w:t>
            </w:r>
            <w:r w:rsidR="007D10B9">
              <w:rPr>
                <w:rFonts w:ascii="Cambria" w:hAnsi="Cambria"/>
              </w:rPr>
              <w:t xml:space="preserve"> (</w:t>
            </w:r>
            <w:r w:rsidR="007D10B9" w:rsidRPr="007D10B9">
              <w:rPr>
                <w:rFonts w:ascii="Cambria" w:hAnsi="Cambria"/>
                <w:i/>
              </w:rPr>
              <w:t>goal</w:t>
            </w:r>
            <w:r w:rsidR="007D10B9">
              <w:rPr>
                <w:rFonts w:ascii="Cambria" w:hAnsi="Cambria"/>
              </w:rPr>
              <w:t xml:space="preserve">) </w:t>
            </w:r>
            <w:r>
              <w:rPr>
                <w:rFonts w:ascii="Cambria" w:hAnsi="Cambria"/>
              </w:rPr>
              <w:t>/idea principal:</w:t>
            </w:r>
          </w:p>
        </w:tc>
        <w:tc>
          <w:tcPr>
            <w:tcW w:w="1688" w:type="dxa"/>
          </w:tcPr>
          <w:p w14:paraId="7EF94560" w14:textId="77777777" w:rsidR="00984DE6" w:rsidRPr="000A44C7" w:rsidRDefault="00984DE6" w:rsidP="0005387D">
            <w:pPr>
              <w:rPr>
                <w:rFonts w:ascii="Cambria" w:hAnsi="Cambria"/>
                <w:lang w:val="es-AR"/>
              </w:rPr>
            </w:pPr>
          </w:p>
        </w:tc>
        <w:tc>
          <w:tcPr>
            <w:tcW w:w="1710" w:type="dxa"/>
          </w:tcPr>
          <w:p w14:paraId="3BE76877" w14:textId="77777777" w:rsidR="00984DE6" w:rsidRDefault="00984DE6" w:rsidP="0005387D">
            <w:pPr>
              <w:rPr>
                <w:rFonts w:ascii="Cambria" w:hAnsi="Cambria"/>
                <w:lang w:val="es-AR"/>
              </w:rPr>
            </w:pPr>
          </w:p>
          <w:p w14:paraId="379F68FC" w14:textId="77777777" w:rsidR="00984DE6" w:rsidRDefault="00984DE6" w:rsidP="0005387D">
            <w:pPr>
              <w:rPr>
                <w:rFonts w:ascii="Cambria" w:hAnsi="Cambria"/>
                <w:lang w:val="es-AR"/>
              </w:rPr>
            </w:pPr>
          </w:p>
          <w:p w14:paraId="798B5785" w14:textId="77777777" w:rsidR="00984DE6" w:rsidRDefault="00984DE6" w:rsidP="0005387D">
            <w:pPr>
              <w:rPr>
                <w:rFonts w:ascii="Cambria" w:hAnsi="Cambria"/>
                <w:lang w:val="es-AR"/>
              </w:rPr>
            </w:pPr>
          </w:p>
          <w:p w14:paraId="71A9908F" w14:textId="77777777" w:rsidR="00984DE6" w:rsidRDefault="00984DE6" w:rsidP="0005387D">
            <w:pPr>
              <w:rPr>
                <w:rFonts w:ascii="Cambria" w:hAnsi="Cambria"/>
                <w:lang w:val="es-AR"/>
              </w:rPr>
            </w:pPr>
          </w:p>
          <w:p w14:paraId="111BB8E9" w14:textId="77777777" w:rsidR="00984DE6" w:rsidRDefault="00984DE6" w:rsidP="0005387D">
            <w:pPr>
              <w:rPr>
                <w:rFonts w:ascii="Cambria" w:hAnsi="Cambria"/>
                <w:lang w:val="es-AR"/>
              </w:rPr>
            </w:pPr>
          </w:p>
          <w:p w14:paraId="6F9178F7" w14:textId="77777777" w:rsidR="00984DE6" w:rsidRDefault="00984DE6" w:rsidP="0005387D">
            <w:pPr>
              <w:rPr>
                <w:rFonts w:ascii="Cambria" w:hAnsi="Cambria"/>
                <w:lang w:val="es-AR"/>
              </w:rPr>
            </w:pPr>
          </w:p>
          <w:p w14:paraId="3ADA9005" w14:textId="77777777" w:rsidR="00984DE6" w:rsidRPr="000A44C7" w:rsidRDefault="00984DE6" w:rsidP="0005387D">
            <w:pPr>
              <w:rPr>
                <w:rFonts w:ascii="Cambria" w:hAnsi="Cambria"/>
                <w:lang w:val="es-AR"/>
              </w:rPr>
            </w:pPr>
          </w:p>
        </w:tc>
        <w:tc>
          <w:tcPr>
            <w:tcW w:w="1620" w:type="dxa"/>
          </w:tcPr>
          <w:p w14:paraId="6DD3E60E" w14:textId="77777777" w:rsidR="00984DE6" w:rsidRDefault="00984DE6" w:rsidP="0005387D">
            <w:pPr>
              <w:rPr>
                <w:rFonts w:ascii="Cambria" w:hAnsi="Cambria"/>
                <w:lang w:val="es-AR"/>
              </w:rPr>
            </w:pPr>
          </w:p>
          <w:p w14:paraId="752DA9E8" w14:textId="77777777" w:rsidR="00984DE6" w:rsidRDefault="00984DE6" w:rsidP="0005387D">
            <w:pPr>
              <w:rPr>
                <w:rFonts w:ascii="Cambria" w:hAnsi="Cambria"/>
                <w:lang w:val="es-AR"/>
              </w:rPr>
            </w:pPr>
          </w:p>
          <w:p w14:paraId="73DC2F2D" w14:textId="77777777" w:rsidR="00984DE6" w:rsidRDefault="00984DE6" w:rsidP="0005387D">
            <w:pPr>
              <w:rPr>
                <w:rFonts w:ascii="Cambria" w:hAnsi="Cambria"/>
                <w:lang w:val="es-AR"/>
              </w:rPr>
            </w:pPr>
          </w:p>
          <w:p w14:paraId="610AC1F7" w14:textId="77777777" w:rsidR="00984DE6" w:rsidRDefault="00984DE6" w:rsidP="0005387D">
            <w:pPr>
              <w:rPr>
                <w:rFonts w:ascii="Cambria" w:hAnsi="Cambria"/>
                <w:lang w:val="es-AR"/>
              </w:rPr>
            </w:pPr>
          </w:p>
          <w:p w14:paraId="74BFFADE" w14:textId="77777777" w:rsidR="00984DE6" w:rsidRPr="000A44C7" w:rsidRDefault="00984DE6" w:rsidP="0005387D">
            <w:pPr>
              <w:rPr>
                <w:rFonts w:ascii="Cambria" w:hAnsi="Cambria"/>
                <w:lang w:val="es-AR"/>
              </w:rPr>
            </w:pPr>
          </w:p>
        </w:tc>
        <w:tc>
          <w:tcPr>
            <w:tcW w:w="1710" w:type="dxa"/>
          </w:tcPr>
          <w:p w14:paraId="04080433" w14:textId="77777777" w:rsidR="00984DE6" w:rsidRPr="000A44C7" w:rsidRDefault="00984DE6" w:rsidP="0005387D">
            <w:pPr>
              <w:rPr>
                <w:rFonts w:ascii="Cambria" w:hAnsi="Cambria"/>
                <w:lang w:val="es-AR"/>
              </w:rPr>
            </w:pPr>
          </w:p>
        </w:tc>
        <w:tc>
          <w:tcPr>
            <w:tcW w:w="1631" w:type="dxa"/>
          </w:tcPr>
          <w:p w14:paraId="4295BB38" w14:textId="77777777" w:rsidR="00984DE6" w:rsidRPr="000A44C7" w:rsidRDefault="00984DE6" w:rsidP="0005387D">
            <w:pPr>
              <w:rPr>
                <w:rFonts w:ascii="Cambria" w:hAnsi="Cambria"/>
                <w:lang w:val="es-AR"/>
              </w:rPr>
            </w:pPr>
          </w:p>
        </w:tc>
      </w:tr>
      <w:tr w:rsidR="00984DE6" w:rsidRPr="007D10B9" w14:paraId="7F6AAFA6" w14:textId="77777777" w:rsidTr="00984DE6">
        <w:trPr>
          <w:trHeight w:val="308"/>
        </w:trPr>
        <w:tc>
          <w:tcPr>
            <w:tcW w:w="1727" w:type="dxa"/>
          </w:tcPr>
          <w:p w14:paraId="086819D6" w14:textId="77777777" w:rsidR="007D10B9" w:rsidRDefault="007D10B9" w:rsidP="0005387D">
            <w:pPr>
              <w:rPr>
                <w:rFonts w:ascii="Cambria" w:hAnsi="Cambria"/>
                <w:lang w:val="es-AR"/>
              </w:rPr>
            </w:pPr>
            <w:r>
              <w:rPr>
                <w:rFonts w:ascii="Cambria" w:hAnsi="Cambria"/>
                <w:lang w:val="es-AR"/>
              </w:rPr>
              <w:t>¿P</w:t>
            </w:r>
            <w:r w:rsidR="00984DE6">
              <w:rPr>
                <w:rFonts w:ascii="Cambria" w:hAnsi="Cambria"/>
                <w:lang w:val="es-AR"/>
              </w:rPr>
              <w:t>ara quiénes es?(público</w:t>
            </w:r>
            <w:r>
              <w:rPr>
                <w:rFonts w:ascii="Cambria" w:hAnsi="Cambria"/>
                <w:lang w:val="es-AR"/>
              </w:rPr>
              <w:t>/</w:t>
            </w:r>
          </w:p>
          <w:p w14:paraId="7130CF26" w14:textId="0842DEC0" w:rsidR="00984DE6" w:rsidRPr="000A44C7" w:rsidRDefault="007D10B9" w:rsidP="0005387D">
            <w:pPr>
              <w:rPr>
                <w:rFonts w:ascii="Cambria" w:hAnsi="Cambria"/>
                <w:lang w:val="es-AR"/>
              </w:rPr>
            </w:pPr>
            <w:bookmarkStart w:id="0" w:name="_GoBack"/>
            <w:bookmarkEnd w:id="0"/>
            <w:r>
              <w:rPr>
                <w:rFonts w:ascii="Cambria" w:hAnsi="Cambria"/>
                <w:lang w:val="es-AR"/>
              </w:rPr>
              <w:t>qué personas</w:t>
            </w:r>
            <w:r w:rsidR="00984DE6">
              <w:rPr>
                <w:rFonts w:ascii="Cambria" w:hAnsi="Cambria"/>
                <w:lang w:val="es-AR"/>
              </w:rPr>
              <w:t xml:space="preserve">): </w:t>
            </w:r>
          </w:p>
        </w:tc>
        <w:tc>
          <w:tcPr>
            <w:tcW w:w="1688" w:type="dxa"/>
          </w:tcPr>
          <w:p w14:paraId="7887D232" w14:textId="77777777" w:rsidR="00984DE6" w:rsidRPr="000A44C7" w:rsidRDefault="00984DE6" w:rsidP="0005387D">
            <w:pPr>
              <w:rPr>
                <w:rFonts w:ascii="Cambria" w:hAnsi="Cambria"/>
                <w:lang w:val="es-AR"/>
              </w:rPr>
            </w:pPr>
          </w:p>
        </w:tc>
        <w:tc>
          <w:tcPr>
            <w:tcW w:w="1710" w:type="dxa"/>
          </w:tcPr>
          <w:p w14:paraId="0D97CFDD" w14:textId="77777777" w:rsidR="00984DE6" w:rsidRPr="000A44C7" w:rsidRDefault="00984DE6" w:rsidP="0005387D">
            <w:pPr>
              <w:rPr>
                <w:rFonts w:ascii="Cambria" w:hAnsi="Cambria"/>
                <w:lang w:val="es-AR"/>
              </w:rPr>
            </w:pPr>
          </w:p>
        </w:tc>
        <w:tc>
          <w:tcPr>
            <w:tcW w:w="1620" w:type="dxa"/>
          </w:tcPr>
          <w:p w14:paraId="140E02F7" w14:textId="77777777" w:rsidR="00984DE6" w:rsidRDefault="00984DE6" w:rsidP="0005387D">
            <w:pPr>
              <w:rPr>
                <w:rFonts w:ascii="Cambria" w:hAnsi="Cambria"/>
                <w:lang w:val="es-AR"/>
              </w:rPr>
            </w:pPr>
          </w:p>
          <w:p w14:paraId="7894819D" w14:textId="77777777" w:rsidR="00984DE6" w:rsidRDefault="00984DE6" w:rsidP="0005387D">
            <w:pPr>
              <w:rPr>
                <w:rFonts w:ascii="Cambria" w:hAnsi="Cambria"/>
                <w:lang w:val="es-AR"/>
              </w:rPr>
            </w:pPr>
          </w:p>
          <w:p w14:paraId="743D539A" w14:textId="77777777" w:rsidR="00984DE6" w:rsidRDefault="00984DE6" w:rsidP="0005387D">
            <w:pPr>
              <w:rPr>
                <w:rFonts w:ascii="Cambria" w:hAnsi="Cambria"/>
                <w:lang w:val="es-AR"/>
              </w:rPr>
            </w:pPr>
          </w:p>
          <w:p w14:paraId="6FBD269D" w14:textId="77777777" w:rsidR="00984DE6" w:rsidRDefault="00984DE6" w:rsidP="0005387D">
            <w:pPr>
              <w:rPr>
                <w:rFonts w:ascii="Cambria" w:hAnsi="Cambria"/>
                <w:lang w:val="es-AR"/>
              </w:rPr>
            </w:pPr>
          </w:p>
          <w:p w14:paraId="467F55FD" w14:textId="77777777" w:rsidR="00984DE6" w:rsidRDefault="00984DE6" w:rsidP="0005387D">
            <w:pPr>
              <w:rPr>
                <w:rFonts w:ascii="Cambria" w:hAnsi="Cambria"/>
                <w:lang w:val="es-AR"/>
              </w:rPr>
            </w:pPr>
          </w:p>
          <w:p w14:paraId="1E12959E" w14:textId="77777777" w:rsidR="00984DE6" w:rsidRDefault="00984DE6" w:rsidP="0005387D">
            <w:pPr>
              <w:rPr>
                <w:rFonts w:ascii="Cambria" w:hAnsi="Cambria"/>
                <w:lang w:val="es-AR"/>
              </w:rPr>
            </w:pPr>
          </w:p>
          <w:p w14:paraId="4A02858C" w14:textId="77777777" w:rsidR="00984DE6" w:rsidRDefault="00984DE6" w:rsidP="0005387D">
            <w:pPr>
              <w:rPr>
                <w:rFonts w:ascii="Cambria" w:hAnsi="Cambria"/>
                <w:lang w:val="es-AR"/>
              </w:rPr>
            </w:pPr>
          </w:p>
          <w:p w14:paraId="5DCA19B5" w14:textId="77777777" w:rsidR="00984DE6" w:rsidRPr="000A44C7" w:rsidRDefault="00984DE6" w:rsidP="0005387D">
            <w:pPr>
              <w:rPr>
                <w:rFonts w:ascii="Cambria" w:hAnsi="Cambria"/>
                <w:lang w:val="es-AR"/>
              </w:rPr>
            </w:pPr>
          </w:p>
        </w:tc>
        <w:tc>
          <w:tcPr>
            <w:tcW w:w="1710" w:type="dxa"/>
          </w:tcPr>
          <w:p w14:paraId="2D492A65" w14:textId="77777777" w:rsidR="00984DE6" w:rsidRPr="000A44C7" w:rsidRDefault="00984DE6" w:rsidP="0005387D">
            <w:pPr>
              <w:rPr>
                <w:rFonts w:ascii="Cambria" w:hAnsi="Cambria"/>
                <w:lang w:val="es-AR"/>
              </w:rPr>
            </w:pPr>
          </w:p>
        </w:tc>
        <w:tc>
          <w:tcPr>
            <w:tcW w:w="1631" w:type="dxa"/>
          </w:tcPr>
          <w:p w14:paraId="6AEC1EE9" w14:textId="77777777" w:rsidR="00984DE6" w:rsidRPr="000A44C7" w:rsidRDefault="00984DE6" w:rsidP="0005387D">
            <w:pPr>
              <w:rPr>
                <w:rFonts w:ascii="Cambria" w:hAnsi="Cambria"/>
                <w:lang w:val="es-AR"/>
              </w:rPr>
            </w:pPr>
          </w:p>
        </w:tc>
      </w:tr>
      <w:tr w:rsidR="00984DE6" w:rsidRPr="007D10B9" w14:paraId="41ED9FC0" w14:textId="77777777" w:rsidTr="00984DE6">
        <w:trPr>
          <w:trHeight w:val="2555"/>
        </w:trPr>
        <w:tc>
          <w:tcPr>
            <w:tcW w:w="1727" w:type="dxa"/>
          </w:tcPr>
          <w:p w14:paraId="3AE17FCC" w14:textId="77777777" w:rsidR="00984DE6" w:rsidRPr="000A44C7" w:rsidRDefault="00984DE6" w:rsidP="0005387D">
            <w:pPr>
              <w:rPr>
                <w:rFonts w:ascii="Cambria" w:hAnsi="Cambria"/>
                <w:lang w:val="es-AR"/>
              </w:rPr>
            </w:pPr>
            <w:r w:rsidRPr="000A44C7">
              <w:rPr>
                <w:rFonts w:ascii="Cambria" w:hAnsi="Cambria"/>
                <w:lang w:val="es-AR"/>
              </w:rPr>
              <w:t>Proceso/ cómo funciona</w:t>
            </w:r>
            <w:r>
              <w:rPr>
                <w:rFonts w:ascii="Cambria" w:hAnsi="Cambria"/>
                <w:lang w:val="es-AR"/>
              </w:rPr>
              <w:t>:</w:t>
            </w:r>
          </w:p>
        </w:tc>
        <w:tc>
          <w:tcPr>
            <w:tcW w:w="1688" w:type="dxa"/>
          </w:tcPr>
          <w:p w14:paraId="77F07EC3" w14:textId="77777777" w:rsidR="00984DE6" w:rsidRPr="000A44C7" w:rsidRDefault="00984DE6" w:rsidP="0005387D">
            <w:pPr>
              <w:rPr>
                <w:rFonts w:ascii="Cambria" w:hAnsi="Cambria"/>
                <w:lang w:val="es-AR"/>
              </w:rPr>
            </w:pPr>
          </w:p>
        </w:tc>
        <w:tc>
          <w:tcPr>
            <w:tcW w:w="1710" w:type="dxa"/>
          </w:tcPr>
          <w:p w14:paraId="603BEDE2" w14:textId="77777777" w:rsidR="00984DE6" w:rsidRPr="000A44C7" w:rsidRDefault="00984DE6" w:rsidP="0005387D">
            <w:pPr>
              <w:rPr>
                <w:rFonts w:ascii="Cambria" w:hAnsi="Cambria"/>
                <w:lang w:val="es-AR"/>
              </w:rPr>
            </w:pPr>
          </w:p>
        </w:tc>
        <w:tc>
          <w:tcPr>
            <w:tcW w:w="1620" w:type="dxa"/>
          </w:tcPr>
          <w:p w14:paraId="7621D86E" w14:textId="77777777" w:rsidR="00984DE6" w:rsidRDefault="00984DE6" w:rsidP="0005387D">
            <w:pPr>
              <w:rPr>
                <w:rFonts w:ascii="Cambria" w:hAnsi="Cambria"/>
                <w:lang w:val="es-AR"/>
              </w:rPr>
            </w:pPr>
          </w:p>
          <w:p w14:paraId="0B78F24B" w14:textId="77777777" w:rsidR="00984DE6" w:rsidRDefault="00984DE6" w:rsidP="0005387D">
            <w:pPr>
              <w:rPr>
                <w:rFonts w:ascii="Cambria" w:hAnsi="Cambria"/>
                <w:lang w:val="es-AR"/>
              </w:rPr>
            </w:pPr>
          </w:p>
          <w:p w14:paraId="39F3E450" w14:textId="77777777" w:rsidR="00984DE6" w:rsidRDefault="00984DE6" w:rsidP="0005387D">
            <w:pPr>
              <w:rPr>
                <w:rFonts w:ascii="Cambria" w:hAnsi="Cambria"/>
                <w:lang w:val="es-AR"/>
              </w:rPr>
            </w:pPr>
          </w:p>
          <w:p w14:paraId="5C8AAC53" w14:textId="77777777" w:rsidR="00984DE6" w:rsidRDefault="00984DE6" w:rsidP="0005387D">
            <w:pPr>
              <w:rPr>
                <w:rFonts w:ascii="Cambria" w:hAnsi="Cambria"/>
                <w:lang w:val="es-AR"/>
              </w:rPr>
            </w:pPr>
          </w:p>
          <w:p w14:paraId="4F01CF22" w14:textId="77777777" w:rsidR="00984DE6" w:rsidRDefault="00984DE6" w:rsidP="0005387D">
            <w:pPr>
              <w:rPr>
                <w:rFonts w:ascii="Cambria" w:hAnsi="Cambria"/>
                <w:lang w:val="es-AR"/>
              </w:rPr>
            </w:pPr>
          </w:p>
          <w:p w14:paraId="1374232C" w14:textId="77777777" w:rsidR="00984DE6" w:rsidRDefault="00984DE6" w:rsidP="0005387D">
            <w:pPr>
              <w:rPr>
                <w:rFonts w:ascii="Cambria" w:hAnsi="Cambria"/>
                <w:lang w:val="es-AR"/>
              </w:rPr>
            </w:pPr>
          </w:p>
          <w:p w14:paraId="6975FDF6" w14:textId="77777777" w:rsidR="00984DE6" w:rsidRDefault="00984DE6" w:rsidP="0005387D">
            <w:pPr>
              <w:rPr>
                <w:rFonts w:ascii="Cambria" w:hAnsi="Cambria"/>
                <w:lang w:val="es-AR"/>
              </w:rPr>
            </w:pPr>
          </w:p>
          <w:p w14:paraId="6E9CC24C" w14:textId="77777777" w:rsidR="00984DE6" w:rsidRDefault="00984DE6" w:rsidP="0005387D">
            <w:pPr>
              <w:rPr>
                <w:rFonts w:ascii="Cambria" w:hAnsi="Cambria"/>
                <w:lang w:val="es-AR"/>
              </w:rPr>
            </w:pPr>
          </w:p>
          <w:p w14:paraId="0ED6C816" w14:textId="77777777" w:rsidR="00984DE6" w:rsidRPr="000A44C7" w:rsidRDefault="00984DE6" w:rsidP="0005387D">
            <w:pPr>
              <w:rPr>
                <w:rFonts w:ascii="Cambria" w:hAnsi="Cambria"/>
                <w:lang w:val="es-AR"/>
              </w:rPr>
            </w:pPr>
          </w:p>
        </w:tc>
        <w:tc>
          <w:tcPr>
            <w:tcW w:w="1710" w:type="dxa"/>
          </w:tcPr>
          <w:p w14:paraId="60C6ABD0" w14:textId="77777777" w:rsidR="00984DE6" w:rsidRPr="000A44C7" w:rsidRDefault="00984DE6" w:rsidP="0005387D">
            <w:pPr>
              <w:rPr>
                <w:rFonts w:ascii="Cambria" w:hAnsi="Cambria"/>
                <w:lang w:val="es-AR"/>
              </w:rPr>
            </w:pPr>
          </w:p>
        </w:tc>
        <w:tc>
          <w:tcPr>
            <w:tcW w:w="1631" w:type="dxa"/>
          </w:tcPr>
          <w:p w14:paraId="40BA30C4" w14:textId="77777777" w:rsidR="00984DE6" w:rsidRPr="000A44C7" w:rsidRDefault="00984DE6" w:rsidP="0005387D">
            <w:pPr>
              <w:rPr>
                <w:rFonts w:ascii="Cambria" w:hAnsi="Cambria"/>
                <w:lang w:val="es-AR"/>
              </w:rPr>
            </w:pPr>
          </w:p>
        </w:tc>
      </w:tr>
      <w:tr w:rsidR="00984DE6" w:rsidRPr="007D10B9" w14:paraId="52D7E0EE" w14:textId="77777777" w:rsidTr="00984DE6">
        <w:trPr>
          <w:trHeight w:val="308"/>
        </w:trPr>
        <w:tc>
          <w:tcPr>
            <w:tcW w:w="1727" w:type="dxa"/>
          </w:tcPr>
          <w:p w14:paraId="54166CB4" w14:textId="77777777" w:rsidR="00984DE6" w:rsidRDefault="00984DE6" w:rsidP="0005387D">
            <w:pPr>
              <w:rPr>
                <w:rFonts w:ascii="Cambria" w:hAnsi="Cambria"/>
                <w:lang w:val="es-AR"/>
              </w:rPr>
            </w:pPr>
            <w:r w:rsidRPr="000A44C7">
              <w:rPr>
                <w:rFonts w:ascii="Cambria" w:hAnsi="Cambria"/>
                <w:lang w:val="es-AR"/>
              </w:rPr>
              <w:t>Beneficios</w:t>
            </w:r>
            <w:r>
              <w:rPr>
                <w:rFonts w:ascii="Cambria" w:hAnsi="Cambria"/>
                <w:lang w:val="es-AR"/>
              </w:rPr>
              <w:t>:</w:t>
            </w:r>
          </w:p>
          <w:p w14:paraId="7B551B11" w14:textId="77777777" w:rsidR="00984DE6" w:rsidRDefault="00984DE6" w:rsidP="0005387D">
            <w:pPr>
              <w:rPr>
                <w:rFonts w:ascii="Cambria" w:hAnsi="Cambria"/>
                <w:lang w:val="es-AR"/>
              </w:rPr>
            </w:pPr>
          </w:p>
          <w:p w14:paraId="0AFC47AD" w14:textId="77777777" w:rsidR="00984DE6" w:rsidRDefault="00984DE6" w:rsidP="0005387D">
            <w:pPr>
              <w:rPr>
                <w:rFonts w:ascii="Cambria" w:hAnsi="Cambria"/>
                <w:lang w:val="es-AR"/>
              </w:rPr>
            </w:pPr>
          </w:p>
          <w:p w14:paraId="0B566BED" w14:textId="77777777" w:rsidR="00984DE6" w:rsidRDefault="00984DE6" w:rsidP="0005387D">
            <w:pPr>
              <w:rPr>
                <w:rFonts w:ascii="Cambria" w:hAnsi="Cambria"/>
                <w:lang w:val="es-AR"/>
              </w:rPr>
            </w:pPr>
          </w:p>
          <w:p w14:paraId="0D771FCB" w14:textId="77777777" w:rsidR="00984DE6" w:rsidRDefault="00984DE6" w:rsidP="0005387D">
            <w:pPr>
              <w:rPr>
                <w:rFonts w:ascii="Cambria" w:hAnsi="Cambria"/>
                <w:lang w:val="es-AR"/>
              </w:rPr>
            </w:pPr>
          </w:p>
          <w:p w14:paraId="2E0B672B" w14:textId="77777777" w:rsidR="00984DE6" w:rsidRDefault="00984DE6" w:rsidP="0005387D">
            <w:pPr>
              <w:rPr>
                <w:rFonts w:ascii="Cambria" w:hAnsi="Cambria"/>
                <w:lang w:val="es-AR"/>
              </w:rPr>
            </w:pPr>
          </w:p>
          <w:p w14:paraId="0681ADD9" w14:textId="77777777" w:rsidR="00984DE6" w:rsidRDefault="00984DE6" w:rsidP="0005387D">
            <w:pPr>
              <w:rPr>
                <w:rFonts w:ascii="Cambria" w:hAnsi="Cambria"/>
                <w:lang w:val="es-AR"/>
              </w:rPr>
            </w:pPr>
          </w:p>
          <w:p w14:paraId="37F70D6A" w14:textId="77777777" w:rsidR="00984DE6" w:rsidRPr="000A44C7" w:rsidRDefault="00984DE6" w:rsidP="0005387D">
            <w:pPr>
              <w:rPr>
                <w:rFonts w:ascii="Cambria" w:hAnsi="Cambria"/>
                <w:lang w:val="es-AR"/>
              </w:rPr>
            </w:pPr>
          </w:p>
        </w:tc>
        <w:tc>
          <w:tcPr>
            <w:tcW w:w="1688" w:type="dxa"/>
          </w:tcPr>
          <w:p w14:paraId="1BCA5C19" w14:textId="77777777" w:rsidR="00984DE6" w:rsidRPr="000A44C7" w:rsidRDefault="00984DE6" w:rsidP="0005387D">
            <w:pPr>
              <w:rPr>
                <w:rFonts w:ascii="Cambria" w:hAnsi="Cambria"/>
                <w:lang w:val="es-AR"/>
              </w:rPr>
            </w:pPr>
          </w:p>
        </w:tc>
        <w:tc>
          <w:tcPr>
            <w:tcW w:w="1710" w:type="dxa"/>
          </w:tcPr>
          <w:p w14:paraId="3D3BF496" w14:textId="77777777" w:rsidR="00984DE6" w:rsidRPr="000A44C7" w:rsidRDefault="00984DE6" w:rsidP="0005387D">
            <w:pPr>
              <w:rPr>
                <w:rFonts w:ascii="Cambria" w:hAnsi="Cambria"/>
                <w:lang w:val="es-AR"/>
              </w:rPr>
            </w:pPr>
          </w:p>
        </w:tc>
        <w:tc>
          <w:tcPr>
            <w:tcW w:w="1620" w:type="dxa"/>
          </w:tcPr>
          <w:p w14:paraId="4022FF99" w14:textId="77777777" w:rsidR="00984DE6" w:rsidRPr="000A44C7" w:rsidRDefault="00984DE6" w:rsidP="0005387D">
            <w:pPr>
              <w:rPr>
                <w:rFonts w:ascii="Cambria" w:hAnsi="Cambria"/>
                <w:lang w:val="es-AR"/>
              </w:rPr>
            </w:pPr>
          </w:p>
        </w:tc>
        <w:tc>
          <w:tcPr>
            <w:tcW w:w="1710" w:type="dxa"/>
          </w:tcPr>
          <w:p w14:paraId="19B47A02" w14:textId="77777777" w:rsidR="00984DE6" w:rsidRPr="000A44C7" w:rsidRDefault="00984DE6" w:rsidP="0005387D">
            <w:pPr>
              <w:rPr>
                <w:rFonts w:ascii="Cambria" w:hAnsi="Cambria"/>
                <w:lang w:val="es-AR"/>
              </w:rPr>
            </w:pPr>
          </w:p>
        </w:tc>
        <w:tc>
          <w:tcPr>
            <w:tcW w:w="1631" w:type="dxa"/>
          </w:tcPr>
          <w:p w14:paraId="3BB96802" w14:textId="77777777" w:rsidR="00984DE6" w:rsidRPr="000A44C7" w:rsidRDefault="00984DE6" w:rsidP="0005387D">
            <w:pPr>
              <w:rPr>
                <w:rFonts w:ascii="Cambria" w:hAnsi="Cambria"/>
                <w:lang w:val="es-AR"/>
              </w:rPr>
            </w:pPr>
          </w:p>
        </w:tc>
      </w:tr>
      <w:tr w:rsidR="00984DE6" w:rsidRPr="007D10B9" w14:paraId="2926C682" w14:textId="77777777" w:rsidTr="00984DE6">
        <w:trPr>
          <w:trHeight w:val="308"/>
        </w:trPr>
        <w:tc>
          <w:tcPr>
            <w:tcW w:w="1727" w:type="dxa"/>
          </w:tcPr>
          <w:p w14:paraId="3EDCD9E3" w14:textId="77777777" w:rsidR="00984DE6" w:rsidRDefault="00984DE6" w:rsidP="0005387D">
            <w:pPr>
              <w:rPr>
                <w:rFonts w:ascii="Cambria" w:hAnsi="Cambria"/>
                <w:lang w:val="es-AR"/>
              </w:rPr>
            </w:pPr>
          </w:p>
          <w:p w14:paraId="399FA19F" w14:textId="77777777" w:rsidR="00984DE6" w:rsidRDefault="00984DE6" w:rsidP="0005387D">
            <w:pPr>
              <w:rPr>
                <w:rFonts w:ascii="Cambria" w:hAnsi="Cambria"/>
                <w:lang w:val="es-AR"/>
              </w:rPr>
            </w:pPr>
            <w:r w:rsidRPr="000A44C7">
              <w:rPr>
                <w:rFonts w:ascii="Cambria" w:hAnsi="Cambria"/>
                <w:lang w:val="es-AR"/>
              </w:rPr>
              <w:t>Negativos</w:t>
            </w:r>
            <w:r>
              <w:rPr>
                <w:rFonts w:ascii="Cambria" w:hAnsi="Cambria"/>
                <w:lang w:val="es-AR"/>
              </w:rPr>
              <w:t>/</w:t>
            </w:r>
          </w:p>
          <w:p w14:paraId="3C082787" w14:textId="77777777" w:rsidR="00984DE6" w:rsidRDefault="00984DE6" w:rsidP="0005387D">
            <w:pPr>
              <w:rPr>
                <w:rFonts w:ascii="Cambria" w:hAnsi="Cambria"/>
                <w:lang w:val="es-AR"/>
              </w:rPr>
            </w:pPr>
            <w:r>
              <w:rPr>
                <w:rFonts w:ascii="Cambria" w:hAnsi="Cambria"/>
                <w:lang w:val="es-AR"/>
              </w:rPr>
              <w:t>problemas:</w:t>
            </w:r>
          </w:p>
          <w:p w14:paraId="1FE14CEC" w14:textId="77777777" w:rsidR="00984DE6" w:rsidRDefault="00984DE6" w:rsidP="0005387D">
            <w:pPr>
              <w:rPr>
                <w:rFonts w:ascii="Cambria" w:hAnsi="Cambria"/>
                <w:lang w:val="es-AR"/>
              </w:rPr>
            </w:pPr>
          </w:p>
          <w:p w14:paraId="2150BC46" w14:textId="77777777" w:rsidR="00984DE6" w:rsidRDefault="00984DE6" w:rsidP="0005387D">
            <w:pPr>
              <w:rPr>
                <w:rFonts w:ascii="Cambria" w:hAnsi="Cambria"/>
                <w:lang w:val="es-AR"/>
              </w:rPr>
            </w:pPr>
          </w:p>
          <w:p w14:paraId="3153884C" w14:textId="77777777" w:rsidR="00984DE6" w:rsidRDefault="00984DE6" w:rsidP="0005387D">
            <w:pPr>
              <w:rPr>
                <w:rFonts w:ascii="Cambria" w:hAnsi="Cambria"/>
                <w:lang w:val="es-AR"/>
              </w:rPr>
            </w:pPr>
          </w:p>
          <w:p w14:paraId="6CA08E4B" w14:textId="77777777" w:rsidR="00984DE6" w:rsidRDefault="00984DE6" w:rsidP="0005387D">
            <w:pPr>
              <w:rPr>
                <w:rFonts w:ascii="Cambria" w:hAnsi="Cambria"/>
                <w:lang w:val="es-AR"/>
              </w:rPr>
            </w:pPr>
          </w:p>
          <w:p w14:paraId="667FC669" w14:textId="77777777" w:rsidR="00984DE6" w:rsidRPr="000A44C7" w:rsidRDefault="00984DE6" w:rsidP="0005387D">
            <w:pPr>
              <w:rPr>
                <w:rFonts w:ascii="Cambria" w:hAnsi="Cambria"/>
                <w:lang w:val="es-AR"/>
              </w:rPr>
            </w:pPr>
          </w:p>
        </w:tc>
        <w:tc>
          <w:tcPr>
            <w:tcW w:w="1688" w:type="dxa"/>
          </w:tcPr>
          <w:p w14:paraId="4EEB8B07" w14:textId="77777777" w:rsidR="00984DE6" w:rsidRPr="000A44C7" w:rsidRDefault="00984DE6" w:rsidP="0005387D">
            <w:pPr>
              <w:rPr>
                <w:rFonts w:ascii="Cambria" w:hAnsi="Cambria"/>
                <w:lang w:val="es-AR"/>
              </w:rPr>
            </w:pPr>
          </w:p>
        </w:tc>
        <w:tc>
          <w:tcPr>
            <w:tcW w:w="1710" w:type="dxa"/>
          </w:tcPr>
          <w:p w14:paraId="3D416010" w14:textId="77777777" w:rsidR="00984DE6" w:rsidRPr="000A44C7" w:rsidRDefault="00984DE6" w:rsidP="0005387D">
            <w:pPr>
              <w:rPr>
                <w:rFonts w:ascii="Cambria" w:hAnsi="Cambria"/>
                <w:lang w:val="es-AR"/>
              </w:rPr>
            </w:pPr>
          </w:p>
        </w:tc>
        <w:tc>
          <w:tcPr>
            <w:tcW w:w="1620" w:type="dxa"/>
          </w:tcPr>
          <w:p w14:paraId="100F1B75" w14:textId="77777777" w:rsidR="00984DE6" w:rsidRPr="000A44C7" w:rsidRDefault="00984DE6" w:rsidP="0005387D">
            <w:pPr>
              <w:rPr>
                <w:rFonts w:ascii="Cambria" w:hAnsi="Cambria"/>
                <w:lang w:val="es-AR"/>
              </w:rPr>
            </w:pPr>
          </w:p>
        </w:tc>
        <w:tc>
          <w:tcPr>
            <w:tcW w:w="1710" w:type="dxa"/>
          </w:tcPr>
          <w:p w14:paraId="2E9D2295" w14:textId="77777777" w:rsidR="00984DE6" w:rsidRPr="000A44C7" w:rsidRDefault="00984DE6" w:rsidP="0005387D">
            <w:pPr>
              <w:rPr>
                <w:rFonts w:ascii="Cambria" w:hAnsi="Cambria"/>
                <w:lang w:val="es-AR"/>
              </w:rPr>
            </w:pPr>
          </w:p>
        </w:tc>
        <w:tc>
          <w:tcPr>
            <w:tcW w:w="1631" w:type="dxa"/>
          </w:tcPr>
          <w:p w14:paraId="5D44881E" w14:textId="77777777" w:rsidR="00984DE6" w:rsidRPr="000A44C7" w:rsidRDefault="00984DE6" w:rsidP="0005387D">
            <w:pPr>
              <w:rPr>
                <w:rFonts w:ascii="Cambria" w:hAnsi="Cambria"/>
                <w:lang w:val="es-AR"/>
              </w:rPr>
            </w:pPr>
          </w:p>
        </w:tc>
      </w:tr>
      <w:tr w:rsidR="00984DE6" w:rsidRPr="007D10B9" w14:paraId="2B552DC5" w14:textId="77777777" w:rsidTr="00984DE6">
        <w:trPr>
          <w:trHeight w:val="2042"/>
        </w:trPr>
        <w:tc>
          <w:tcPr>
            <w:tcW w:w="1727" w:type="dxa"/>
          </w:tcPr>
          <w:p w14:paraId="4F9A3A60" w14:textId="77777777" w:rsidR="00984DE6" w:rsidRDefault="00984DE6" w:rsidP="0005387D">
            <w:pPr>
              <w:rPr>
                <w:rFonts w:ascii="Cambria" w:hAnsi="Cambria"/>
                <w:lang w:val="es-AR"/>
              </w:rPr>
            </w:pPr>
            <w:r>
              <w:rPr>
                <w:rFonts w:ascii="Cambria" w:hAnsi="Cambria"/>
                <w:lang w:val="es-AR"/>
              </w:rPr>
              <w:t>Evaluación:</w:t>
            </w:r>
          </w:p>
        </w:tc>
        <w:tc>
          <w:tcPr>
            <w:tcW w:w="1688" w:type="dxa"/>
          </w:tcPr>
          <w:p w14:paraId="6ABE43D9" w14:textId="77777777" w:rsidR="00984DE6" w:rsidRPr="000A44C7" w:rsidRDefault="00984DE6" w:rsidP="0005387D">
            <w:pPr>
              <w:rPr>
                <w:rFonts w:ascii="Cambria" w:hAnsi="Cambria"/>
                <w:lang w:val="es-AR"/>
              </w:rPr>
            </w:pPr>
          </w:p>
        </w:tc>
        <w:tc>
          <w:tcPr>
            <w:tcW w:w="1710" w:type="dxa"/>
          </w:tcPr>
          <w:p w14:paraId="203DC6E8" w14:textId="77777777" w:rsidR="00984DE6" w:rsidRDefault="00984DE6" w:rsidP="0005387D">
            <w:pPr>
              <w:rPr>
                <w:rFonts w:ascii="Cambria" w:hAnsi="Cambria"/>
                <w:lang w:val="es-AR"/>
              </w:rPr>
            </w:pPr>
          </w:p>
          <w:p w14:paraId="7D047B68" w14:textId="77777777" w:rsidR="00984DE6" w:rsidRDefault="00984DE6" w:rsidP="0005387D">
            <w:pPr>
              <w:rPr>
                <w:rFonts w:ascii="Cambria" w:hAnsi="Cambria"/>
                <w:lang w:val="es-AR"/>
              </w:rPr>
            </w:pPr>
          </w:p>
          <w:p w14:paraId="2FFF4FC6" w14:textId="77777777" w:rsidR="00984DE6" w:rsidRDefault="00984DE6" w:rsidP="0005387D">
            <w:pPr>
              <w:rPr>
                <w:rFonts w:ascii="Cambria" w:hAnsi="Cambria"/>
                <w:lang w:val="es-AR"/>
              </w:rPr>
            </w:pPr>
          </w:p>
          <w:p w14:paraId="70A436AB" w14:textId="77777777" w:rsidR="00984DE6" w:rsidRDefault="00984DE6" w:rsidP="0005387D">
            <w:pPr>
              <w:rPr>
                <w:rFonts w:ascii="Cambria" w:hAnsi="Cambria"/>
                <w:lang w:val="es-AR"/>
              </w:rPr>
            </w:pPr>
          </w:p>
          <w:p w14:paraId="66D232DB" w14:textId="77777777" w:rsidR="00984DE6" w:rsidRDefault="00984DE6" w:rsidP="0005387D">
            <w:pPr>
              <w:rPr>
                <w:rFonts w:ascii="Cambria" w:hAnsi="Cambria"/>
                <w:lang w:val="es-AR"/>
              </w:rPr>
            </w:pPr>
          </w:p>
          <w:p w14:paraId="28F5FBC3" w14:textId="77777777" w:rsidR="00984DE6" w:rsidRPr="000A44C7" w:rsidRDefault="00984DE6" w:rsidP="0005387D">
            <w:pPr>
              <w:rPr>
                <w:rFonts w:ascii="Cambria" w:hAnsi="Cambria"/>
                <w:lang w:val="es-AR"/>
              </w:rPr>
            </w:pPr>
          </w:p>
        </w:tc>
        <w:tc>
          <w:tcPr>
            <w:tcW w:w="1620" w:type="dxa"/>
          </w:tcPr>
          <w:p w14:paraId="7FC83982" w14:textId="77777777" w:rsidR="00984DE6" w:rsidRPr="000A44C7" w:rsidRDefault="00984DE6" w:rsidP="0005387D">
            <w:pPr>
              <w:rPr>
                <w:rFonts w:ascii="Cambria" w:hAnsi="Cambria"/>
                <w:lang w:val="es-AR"/>
              </w:rPr>
            </w:pPr>
          </w:p>
        </w:tc>
        <w:tc>
          <w:tcPr>
            <w:tcW w:w="1710" w:type="dxa"/>
          </w:tcPr>
          <w:p w14:paraId="3F532FFB" w14:textId="77777777" w:rsidR="00984DE6" w:rsidRPr="000A44C7" w:rsidRDefault="00984DE6" w:rsidP="0005387D">
            <w:pPr>
              <w:rPr>
                <w:rFonts w:ascii="Cambria" w:hAnsi="Cambria"/>
                <w:lang w:val="es-AR"/>
              </w:rPr>
            </w:pPr>
          </w:p>
        </w:tc>
        <w:tc>
          <w:tcPr>
            <w:tcW w:w="1631" w:type="dxa"/>
          </w:tcPr>
          <w:p w14:paraId="75647E7B" w14:textId="77777777" w:rsidR="00984DE6" w:rsidRPr="000A44C7" w:rsidRDefault="00984DE6" w:rsidP="0005387D">
            <w:pPr>
              <w:rPr>
                <w:rFonts w:ascii="Cambria" w:hAnsi="Cambria"/>
                <w:lang w:val="es-AR"/>
              </w:rPr>
            </w:pPr>
          </w:p>
        </w:tc>
      </w:tr>
    </w:tbl>
    <w:p w14:paraId="7DC9A66B" w14:textId="77777777" w:rsidR="000A44C7" w:rsidRPr="000A44C7" w:rsidRDefault="000A44C7" w:rsidP="0005387D">
      <w:pPr>
        <w:rPr>
          <w:rFonts w:ascii="Cambria" w:hAnsi="Cambria"/>
          <w:lang w:val="es-AR"/>
        </w:rPr>
      </w:pPr>
    </w:p>
    <w:sectPr w:rsidR="000A44C7" w:rsidRPr="000A44C7" w:rsidSect="00984DE6">
      <w:pgSz w:w="12240" w:h="15840"/>
      <w:pgMar w:top="720" w:right="99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E5B91"/>
    <w:multiLevelType w:val="hybridMultilevel"/>
    <w:tmpl w:val="DFCE5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87D"/>
    <w:rsid w:val="000141EF"/>
    <w:rsid w:val="0005387D"/>
    <w:rsid w:val="000A44C7"/>
    <w:rsid w:val="000A5454"/>
    <w:rsid w:val="00137B2A"/>
    <w:rsid w:val="007D10B9"/>
    <w:rsid w:val="00825611"/>
    <w:rsid w:val="00984DE6"/>
    <w:rsid w:val="00DD494F"/>
    <w:rsid w:val="00F8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9144"/>
  <w15:chartTrackingRefBased/>
  <w15:docId w15:val="{073829C8-9B9F-44B8-89C4-654BA73A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87D"/>
    <w:rPr>
      <w:color w:val="0563C1" w:themeColor="hyperlink"/>
      <w:u w:val="single"/>
    </w:rPr>
  </w:style>
  <w:style w:type="paragraph" w:styleId="ListParagraph">
    <w:name w:val="List Paragraph"/>
    <w:basedOn w:val="Normal"/>
    <w:uiPriority w:val="34"/>
    <w:qFormat/>
    <w:rsid w:val="0005387D"/>
    <w:pPr>
      <w:ind w:left="720"/>
      <w:contextualSpacing/>
    </w:pPr>
  </w:style>
  <w:style w:type="paragraph" w:styleId="BalloonText">
    <w:name w:val="Balloon Text"/>
    <w:basedOn w:val="Normal"/>
    <w:link w:val="BalloonTextChar"/>
    <w:uiPriority w:val="99"/>
    <w:semiHidden/>
    <w:unhideWhenUsed/>
    <w:rsid w:val="000A44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4C7"/>
    <w:rPr>
      <w:rFonts w:ascii="Segoe UI" w:hAnsi="Segoe UI" w:cs="Segoe UI"/>
      <w:sz w:val="18"/>
      <w:szCs w:val="18"/>
    </w:rPr>
  </w:style>
  <w:style w:type="table" w:styleId="TableGrid">
    <w:name w:val="Table Grid"/>
    <w:basedOn w:val="TableNormal"/>
    <w:uiPriority w:val="39"/>
    <w:rsid w:val="000A4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romisoempresarial.com/rsc/2019/01/las-10-apps-para-cuidar-el-medio-ambiente-en-201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408B67152634B81B91DB26C84DDD5" ma:contentTypeVersion="33" ma:contentTypeDescription="Create a new document." ma:contentTypeScope="" ma:versionID="df3f266c7d405a305a8d61fa24a25c7c">
  <xsd:schema xmlns:xsd="http://www.w3.org/2001/XMLSchema" xmlns:xs="http://www.w3.org/2001/XMLSchema" xmlns:p="http://schemas.microsoft.com/office/2006/metadata/properties" xmlns:ns3="f90776ae-e8a2-4d4e-a19f-a52070e5eb7c" xmlns:ns4="075aef01-8325-4fe6-8253-5d68f80546b3" targetNamespace="http://schemas.microsoft.com/office/2006/metadata/properties" ma:root="true" ma:fieldsID="ceab034f40c0706dc61d6c01fb645e86" ns3:_="" ns4:_="">
    <xsd:import namespace="f90776ae-e8a2-4d4e-a19f-a52070e5eb7c"/>
    <xsd:import namespace="075aef01-8325-4fe6-8253-5d68f80546b3"/>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TeamsChannelId" minOccurs="0"/>
                <xsd:element ref="ns3:IsNotebookLocked"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ath_Settings" minOccurs="0"/>
                <xsd:element ref="ns3:Distribution_Groups" minOccurs="0"/>
                <xsd:element ref="ns3: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776ae-e8a2-4d4e-a19f-a52070e5eb7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TeamsChannelId" ma:index="28" nillable="true" ma:displayName="Teams Channel Id" ma:internalName="TeamsChannelId">
      <xsd:simpleType>
        <xsd:restriction base="dms:Text"/>
      </xsd:simpleType>
    </xsd:element>
    <xsd:element name="IsNotebookLocked" ma:index="29"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5aef01-8325-4fe6-8253-5d68f80546b3"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f90776ae-e8a2-4d4e-a19f-a52070e5eb7c" xsi:nil="true"/>
    <Invited_Teachers xmlns="f90776ae-e8a2-4d4e-a19f-a52070e5eb7c" xsi:nil="true"/>
    <FolderType xmlns="f90776ae-e8a2-4d4e-a19f-a52070e5eb7c" xsi:nil="true"/>
    <Teachers xmlns="f90776ae-e8a2-4d4e-a19f-a52070e5eb7c">
      <UserInfo>
        <DisplayName/>
        <AccountId xsi:nil="true"/>
        <AccountType/>
      </UserInfo>
    </Teachers>
    <Student_Groups xmlns="f90776ae-e8a2-4d4e-a19f-a52070e5eb7c">
      <UserInfo>
        <DisplayName/>
        <AccountId xsi:nil="true"/>
        <AccountType/>
      </UserInfo>
    </Student_Groups>
    <NotebookType xmlns="f90776ae-e8a2-4d4e-a19f-a52070e5eb7c" xsi:nil="true"/>
    <Students xmlns="f90776ae-e8a2-4d4e-a19f-a52070e5eb7c">
      <UserInfo>
        <DisplayName/>
        <AccountId xsi:nil="true"/>
        <AccountType/>
      </UserInfo>
    </Students>
    <Math_Settings xmlns="f90776ae-e8a2-4d4e-a19f-a52070e5eb7c" xsi:nil="true"/>
    <DefaultSectionNames xmlns="f90776ae-e8a2-4d4e-a19f-a52070e5eb7c" xsi:nil="true"/>
    <Invited_Students xmlns="f90776ae-e8a2-4d4e-a19f-a52070e5eb7c" xsi:nil="true"/>
    <TeamsChannelId xmlns="f90776ae-e8a2-4d4e-a19f-a52070e5eb7c" xsi:nil="true"/>
    <IsNotebookLocked xmlns="f90776ae-e8a2-4d4e-a19f-a52070e5eb7c" xsi:nil="true"/>
    <Owner xmlns="f90776ae-e8a2-4d4e-a19f-a52070e5eb7c">
      <UserInfo>
        <DisplayName/>
        <AccountId xsi:nil="true"/>
        <AccountType/>
      </UserInfo>
    </Owner>
    <Has_Teacher_Only_SectionGroup xmlns="f90776ae-e8a2-4d4e-a19f-a52070e5eb7c" xsi:nil="true"/>
    <Is_Collaboration_Space_Locked xmlns="f90776ae-e8a2-4d4e-a19f-a52070e5eb7c" xsi:nil="true"/>
    <Templates xmlns="f90776ae-e8a2-4d4e-a19f-a52070e5eb7c" xsi:nil="true"/>
    <LMS_Mappings xmlns="f90776ae-e8a2-4d4e-a19f-a52070e5eb7c" xsi:nil="true"/>
    <CultureName xmlns="f90776ae-e8a2-4d4e-a19f-a52070e5eb7c" xsi:nil="true"/>
    <Distribution_Groups xmlns="f90776ae-e8a2-4d4e-a19f-a52070e5eb7c" xsi:nil="true"/>
    <Self_Registration_Enabled xmlns="f90776ae-e8a2-4d4e-a19f-a52070e5eb7c" xsi:nil="true"/>
  </documentManagement>
</p:properties>
</file>

<file path=customXml/itemProps1.xml><?xml version="1.0" encoding="utf-8"?>
<ds:datastoreItem xmlns:ds="http://schemas.openxmlformats.org/officeDocument/2006/customXml" ds:itemID="{03A79867-3D32-4EEC-AD77-6925822CC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776ae-e8a2-4d4e-a19f-a52070e5eb7c"/>
    <ds:schemaRef ds:uri="075aef01-8325-4fe6-8253-5d68f8054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23AC7E-49AF-4312-B20C-6763713D85B5}">
  <ds:schemaRefs>
    <ds:schemaRef ds:uri="http://schemas.microsoft.com/sharepoint/v3/contenttype/forms"/>
  </ds:schemaRefs>
</ds:datastoreItem>
</file>

<file path=customXml/itemProps3.xml><?xml version="1.0" encoding="utf-8"?>
<ds:datastoreItem xmlns:ds="http://schemas.openxmlformats.org/officeDocument/2006/customXml" ds:itemID="{9BAD53D4-9D98-43CE-88CB-BC8922275459}">
  <ds:schemaRefs>
    <ds:schemaRef ds:uri="http://schemas.openxmlformats.org/package/2006/metadata/core-properties"/>
    <ds:schemaRef ds:uri="075aef01-8325-4fe6-8253-5d68f80546b3"/>
    <ds:schemaRef ds:uri="http://purl.org/dc/terms/"/>
    <ds:schemaRef ds:uri="http://schemas.microsoft.com/office/2006/documentManagement/types"/>
    <ds:schemaRef ds:uri="http://schemas.microsoft.com/office/infopath/2007/PartnerControls"/>
    <ds:schemaRef ds:uri="http://purl.org/dc/elements/1.1/"/>
    <ds:schemaRef ds:uri="f90776ae-e8a2-4d4e-a19f-a52070e5eb7c"/>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Erica    LHS - Staff</dc:creator>
  <cp:keywords/>
  <dc:description/>
  <cp:lastModifiedBy>Garcia, Erica    LHS - Staff</cp:lastModifiedBy>
  <cp:revision>3</cp:revision>
  <cp:lastPrinted>2019-03-22T23:46:00Z</cp:lastPrinted>
  <dcterms:created xsi:type="dcterms:W3CDTF">2020-03-28T18:43:00Z</dcterms:created>
  <dcterms:modified xsi:type="dcterms:W3CDTF">2020-03-28T18:44:00Z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0x010100CAD408B67152634B81B91DB26C84DDD5</vt:lpwstr>
  </property>
</Properties>
</file>